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养老机构基本条件告知书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养老机构应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当依照《中华人民共和国老年人权益保障法》等法律法规和标准规范的规定开展服务活动，并符合下列基本条件：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应当符合《中华人民共和国建筑法》、《中华人民共和国消防法》、《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bidi="ar-SA"/>
        </w:rPr>
        <w:t>无障碍环境建设条例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 w:bidi="ar-SA"/>
        </w:rPr>
        <w:t>》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等法律法规，以及《老年人照料设施建筑设计标准》（住房城乡建设部公告2018年第35号）、《建筑设计防火规范》（住房城乡建设部公告2018年第36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应当符合《养老机构管理办法》规章。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开展医疗卫生服务的，应当符合《医疗机构管理条例》、《医疗机构管理条例实施细则》等法规规章，以及养老机构内设医务室、护理站等设置标准。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开展餐饮服务的，应当符合《中华人民共和国食品安全法》等法律法规，以及相应食品安全标准。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法律法规规定的其他条件。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F8BD"/>
    <w:multiLevelType w:val="singleLevel"/>
    <w:tmpl w:val="5C21F8B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24E9"/>
    <w:rsid w:val="72A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2019-03-15T03:18:00Z</dcterms:created>
  <dc:creator>灌汤包</dc:creator>
  <cp:lastModifiedBy>灌汤包</cp:lastModifiedBy>
  <dcterms:modified xsi:type="dcterms:W3CDTF">2019-03-15T03:19:44Z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